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46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Государственное бюджетное учреждение </w:t>
      </w:r>
    </w:p>
    <w:p w:rsidR="00753B46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дополнительного профессионального образования </w:t>
      </w:r>
    </w:p>
    <w:p w:rsidR="00753B46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центр повышения квалификации специалистов </w:t>
      </w:r>
    </w:p>
    <w:p w:rsidR="004606C4" w:rsidRPr="004606C4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«Информационно-методический центр» </w:t>
      </w:r>
    </w:p>
    <w:p w:rsidR="004606C4" w:rsidRDefault="004606C4" w:rsidP="004606C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</w:pPr>
      <w:r w:rsidRPr="004606C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Калининского района Санкт-Петербурга</w:t>
      </w: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Pr="004606C4" w:rsidRDefault="004606C4" w:rsidP="004606C4">
      <w:pPr>
        <w:rPr>
          <w:lang w:eastAsia="ru-RU"/>
        </w:rPr>
      </w:pPr>
    </w:p>
    <w:p w:rsidR="002A7F89" w:rsidRDefault="004606C4" w:rsidP="002A7F8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Алгоритм </w:t>
      </w:r>
    </w:p>
    <w:p w:rsidR="00B87B67" w:rsidRDefault="004606C4" w:rsidP="002A7F8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формирования индивидуальных образовательных </w:t>
      </w:r>
      <w:r w:rsidR="00B87B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траекторий педагогических и руководящих работников </w:t>
      </w:r>
    </w:p>
    <w:p w:rsidR="004606C4" w:rsidRDefault="00B87B67" w:rsidP="002A7F8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реализации программы наставничества </w:t>
      </w: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4606C4" w:rsidRPr="004606C4" w:rsidRDefault="004606C4" w:rsidP="004606C4">
      <w:pPr>
        <w:rPr>
          <w:lang w:eastAsia="ru-RU"/>
        </w:rPr>
      </w:pPr>
    </w:p>
    <w:p w:rsidR="004606C4" w:rsidRDefault="004606C4" w:rsidP="004606C4">
      <w:pPr>
        <w:rPr>
          <w:lang w:eastAsia="ru-RU"/>
        </w:rPr>
      </w:pPr>
    </w:p>
    <w:p w:rsidR="002A7F89" w:rsidRDefault="002A7F89" w:rsidP="004606C4">
      <w:pPr>
        <w:rPr>
          <w:lang w:eastAsia="ru-RU"/>
        </w:rPr>
      </w:pPr>
    </w:p>
    <w:p w:rsidR="004606C4" w:rsidRPr="004606C4" w:rsidRDefault="004606C4" w:rsidP="004606C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06C4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- 202</w:t>
      </w:r>
      <w:r w:rsidR="00B87B6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E03CFF" w:rsidRPr="00E03CFF" w:rsidRDefault="00E03CFF" w:rsidP="00733156">
      <w:pPr>
        <w:pageBreakBefore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2019 года началась реализация национального проекта «Образования», разрабатываются его региональные составляющие, формируются «дорожные карты». </w:t>
      </w:r>
    </w:p>
    <w:p w:rsid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</w:t>
      </w:r>
      <w:r w:rsidR="00B87B67"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нашей страны.</w:t>
      </w:r>
    </w:p>
    <w:p w:rsidR="00E03CFF" w:rsidRP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задачи, стоящие перед петербургской школой, определены новыми стратегическими документами регионального уровня.</w:t>
      </w:r>
    </w:p>
    <w:p w:rsid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</w:t>
      </w:r>
      <w:r w:rsid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Стратегия социально-экономического развития на период до 2035 года. В документе отмечается, что развитие сферы образования является важным условием обеспечения устойчивого развития Санкт-Петербурга, повышения его конкурентоспособности в формировании и накоплении интеллектуального капитала.</w:t>
      </w:r>
    </w:p>
    <w:p w:rsidR="00A85D99" w:rsidRDefault="00A85D99" w:rsidP="00A85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Информационно-методическим центром Калининского района (далее – ИМЦ) определен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контур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проектов,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их с федеральными и региональными целями и задачами, т.е.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 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фокус и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8E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образования, </w:t>
      </w:r>
      <w:r w:rsidR="00D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DA4F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наставничества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B67" w:rsidRDefault="00A85D99" w:rsidP="00A85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(муниципальной) системы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полное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самореализации в современных условиях неопределенности, а также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B67" w:rsidRPr="00B8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разных уровней образования и молодых специалистов.</w:t>
      </w:r>
    </w:p>
    <w:p w:rsidR="00AA7D5F" w:rsidRDefault="005E53E2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Внедряемая модель </w:t>
      </w:r>
      <w:r w:rsidR="00DA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  <w:r w:rsidR="00AA7D5F"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проблемные зоны развития системы образования района по обеспечению качества образования</w:t>
      </w:r>
      <w:r w:rsidR="00A85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роста педагогов, преодоление профессиональных педагогических дефицитов</w:t>
      </w:r>
      <w:r w:rsid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697" w:rsidRDefault="00DA4F7A" w:rsidP="00243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AA7D5F"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</w:t>
      </w:r>
      <w:r w:rsidR="00AA7D5F"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выстроена на базе сформированных инфраструктурных, организационных и методических результатов и эффектов, достигнутых в </w:t>
      </w:r>
      <w:r w:rsid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предыдущий период, сложившихся механизмов </w:t>
      </w:r>
      <w:r w:rsidR="00AA7D5F"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развития образования в</w:t>
      </w:r>
      <w:r w:rsid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Механизмами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AA7D5F"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инструменты проектного управления.</w:t>
      </w:r>
      <w:r w:rsidR="00243697" w:rsidRP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CF" w:rsidRDefault="00243697" w:rsidP="00243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ИМЦ создан </w:t>
      </w:r>
      <w:r w:rsidR="005B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центр </w:t>
      </w:r>
      <w:r w:rsidR="005B4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главной целью которого является </w:t>
      </w:r>
      <w:r w:rsidR="0037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талантов в районной (муниципальной) системе образования, а также </w:t>
      </w:r>
      <w:r w:rsidR="005B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профессионального роста педагогов на основе диагностики дефицитов. </w:t>
      </w:r>
    </w:p>
    <w:p w:rsidR="009407B0" w:rsidRDefault="00924ECF" w:rsidP="002436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</w:t>
      </w:r>
      <w:r w:rsidR="00377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наставничества</w:t>
      </w:r>
      <w:r w:rsidRPr="0092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организационно-методическое и информационно-аналитическое сопровождение </w:t>
      </w:r>
      <w:r w:rsidR="0094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и руководящих кадров, а также профессиональных педагогических сообществ. </w:t>
      </w:r>
    </w:p>
    <w:p w:rsidR="00AA7D5F" w:rsidRDefault="00AA7D5F" w:rsidP="00AA7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</w:t>
      </w:r>
      <w:r w:rsidR="0094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(муниципальная) 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940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сбор и первичную обработку данных, анализ и оценку </w:t>
      </w:r>
      <w:r w:rsidR="0094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сформированности профессиональных компетенций педагогов.  </w:t>
      </w:r>
    </w:p>
    <w:p w:rsidR="00835402" w:rsidRDefault="009407B0" w:rsidP="00AA7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(муниципальная) с</w:t>
      </w:r>
      <w:r w:rsidR="00AA7D5F"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 w:rsid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D5F"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</w:t>
      </w:r>
      <w:r w:rsidR="00AA7D5F"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</w:t>
      </w:r>
      <w:r w:rsidR="00AA7D5F" w:rsidRPr="00A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способов, средств и организационных структур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непрерывного профессионального развития педагогических работников и руководящих кадров, проектирования и реализации их индивидуальной траектории профессионального роста. </w:t>
      </w:r>
    </w:p>
    <w:p w:rsidR="009407B0" w:rsidRDefault="00835402" w:rsidP="00AA7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540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выявления профессиональных затруднений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самоанализ и самооценку, а также диагностику на основе </w:t>
      </w:r>
      <w:r w:rsidRPr="00835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стандартизированных методик. Результаты диагностики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Pr="008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построения индивидуального плана профессионального развития педагога.</w:t>
      </w:r>
    </w:p>
    <w:p w:rsidR="00BE613D" w:rsidRPr="00BE613D" w:rsidRDefault="00BE613D" w:rsidP="00BE61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диагностики профессиональных дефицитов являются:</w:t>
      </w:r>
    </w:p>
    <w:p w:rsidR="00BE613D" w:rsidRPr="00BE613D" w:rsidRDefault="00BE613D" w:rsidP="00BE613D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профессиональных</w:t>
      </w:r>
      <w:r w:rsidR="00E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дефицитов</w:t>
      </w:r>
      <w:r w:rsidR="00E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E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оценочных процедур;</w:t>
      </w:r>
    </w:p>
    <w:p w:rsidR="00BE613D" w:rsidRPr="00BE613D" w:rsidRDefault="00BE613D" w:rsidP="00BE613D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профессиональных дефицитов на основании рефлексии профессиональной деятельности;</w:t>
      </w:r>
    </w:p>
    <w:p w:rsidR="00BE613D" w:rsidRPr="00BE613D" w:rsidRDefault="00BE613D" w:rsidP="00BE613D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профессиональных дефицитов на основании результатов профессиональной деятельности;</w:t>
      </w:r>
    </w:p>
    <w:p w:rsidR="00BE613D" w:rsidRDefault="00BE613D" w:rsidP="00BE613D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профессиональных дефицитов на основании экспертной оценки практической</w:t>
      </w:r>
      <w:r w:rsidR="00EF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(предметно-методической/управленческой) деятельности.</w:t>
      </w:r>
    </w:p>
    <w:p w:rsidR="00BE613D" w:rsidRPr="00BE613D" w:rsidRDefault="00BE613D" w:rsidP="00AA2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профессиональных дефицитов основывается на вариативном,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уровневом и комплексном подходах:</w:t>
      </w:r>
    </w:p>
    <w:p w:rsidR="00BE613D" w:rsidRDefault="00BE613D" w:rsidP="00BE613D">
      <w:pPr>
        <w:pStyle w:val="a5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вариативный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подход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проявляется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основания форм диагностики профессиональных компетенций;</w:t>
      </w:r>
    </w:p>
    <w:p w:rsidR="00BE613D" w:rsidRDefault="00BE613D" w:rsidP="00BE613D">
      <w:pPr>
        <w:pStyle w:val="a5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уровневый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подход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предполагает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(минимальный, средний, высокий) профессиональных дефицитов;</w:t>
      </w:r>
    </w:p>
    <w:p w:rsidR="00BE613D" w:rsidRDefault="00BE613D" w:rsidP="00BE613D">
      <w:pPr>
        <w:pStyle w:val="a5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проявляется в одновременном применении разных форм диагностики.</w:t>
      </w:r>
    </w:p>
    <w:p w:rsidR="00AA272E" w:rsidRPr="00AA272E" w:rsidRDefault="00AA272E" w:rsidP="00AA2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производится посредством выполнения диагностической работы с использованием стандартизированного инструментария, спроектированного:</w:t>
      </w:r>
    </w:p>
    <w:p w:rsidR="00AA272E" w:rsidRPr="00AA272E" w:rsidRDefault="00AA272E" w:rsidP="00AA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педагогических работников по блокам профессиональных компетенций (предметных, методических, психолого-педагогических, коммуникативных);</w:t>
      </w:r>
    </w:p>
    <w:p w:rsidR="00AA272E" w:rsidRPr="00AA272E" w:rsidRDefault="00AA272E" w:rsidP="00AA2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управленческих кадров по функциональным блокам управления (процессами, ресурсами, кадрами, результатами, информацией).</w:t>
      </w:r>
    </w:p>
    <w:p w:rsidR="00AA272E" w:rsidRPr="00AA272E" w:rsidRDefault="00AA272E" w:rsidP="00AA2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 профессиональных дефицитов на основании стандартизированных оценочных процедур может осуществляться как отдельное диагностическое мероприятие либо в рамках входного/итогового тестирования при обучении по дополнительной профессиональной программе повышения квалификации (далее - ДПП ПК). Тематика ДПП ПК определяет направленность диагностических заданий входного/итогового тестирования.</w:t>
      </w:r>
    </w:p>
    <w:p w:rsidR="00AA272E" w:rsidRPr="00AA272E" w:rsidRDefault="00AA272E" w:rsidP="00AA2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блок диагностических заданий содерж</w:t>
      </w:r>
      <w:r w:rsidR="00B2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тестовые задания различных видов (выбор одного ответа или нескольких, установление соответствия или последовательности, формулировка краткого/развернутого ответа).</w:t>
      </w:r>
    </w:p>
    <w:p w:rsidR="00AA272E" w:rsidRPr="00AA272E" w:rsidRDefault="00AA272E" w:rsidP="00AA2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профессиональных дефицитов осуществляется на основе уровневого подхода и позволяет выявить несколько </w:t>
      </w:r>
      <w:proofErr w:type="spellStart"/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дефицитарных</w:t>
      </w:r>
      <w:proofErr w:type="spellEnd"/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уровней: высокий, средний, низкий.</w:t>
      </w:r>
    </w:p>
    <w:p w:rsidR="00E03CFF" w:rsidRPr="00E03CFF" w:rsidRDefault="00E03CFF" w:rsidP="00E03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3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8E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8E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выявление профессиональных дефицитов и </w:t>
      </w:r>
      <w:r w:rsid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8E5FF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«талантов»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интегрируются. Под интеграцией нами понимается объединение в целое ранее разрозненных частей и элементов или действие, имеющее своим результатом целостность.</w:t>
      </w:r>
    </w:p>
    <w:p w:rsidR="004606C4" w:rsidRPr="00B640F3" w:rsidRDefault="00E03CFF" w:rsidP="008E5F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Разумная интеграция результатов </w:t>
      </w:r>
      <w:r w:rsidR="008E5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</w:t>
      </w:r>
      <w:r w:rsidRPr="00E0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синергетическому эффекту</w:t>
      </w:r>
      <w:r w:rsidR="008E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используется для проведения </w:t>
      </w:r>
      <w:r w:rsidR="00243697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контекстного и сравнительного анализа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5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процедурах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8E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и руководящие кадры 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8E5FF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E5F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02" w:rsidRPr="00835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если удастся диагностировать пробелы (дефициты) в знаниях и умениях, обеспечивающих выполнение трудовых действий, то появится возможность реально помочь педагогу повысить уровень его профессиональной подготовки и создать условия для повышения результативности его профессиональной деятельности.</w:t>
      </w:r>
    </w:p>
    <w:p w:rsidR="004606C4" w:rsidRDefault="008E5FF4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 интеграция результатов диагностик педагогических кадров</w:t>
      </w:r>
      <w:r w:rsidR="002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1271D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кластер</w:t>
      </w:r>
      <w:r w:rsidR="00127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показавших высокие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уроню профессиональных компетенций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кластер</w:t>
      </w:r>
      <w:r w:rsidR="00127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профессиональные дефициты</w:t>
      </w:r>
      <w:r w:rsidR="0012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предметные, методические, психолого-педагогические</w:t>
      </w:r>
      <w:r w:rsidR="001271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06C4" w:rsidRPr="00B64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72E" w:rsidRDefault="00AA272E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является приоритетной процедурой диагностики, поскольку позволяет получить объективные данные о профессиональных дефицитах</w:t>
      </w:r>
      <w:r w:rsidR="0012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«талантах» в районной системе образования</w:t>
      </w:r>
      <w:r w:rsidRPr="00AA2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110" w:rsidRPr="006B1110" w:rsidRDefault="006B1110" w:rsidP="006B11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индивидуального плана профессионального развития используются</w:t>
      </w: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деятельности, которые включают как достижения, так и выявленные профессиональные дефициты.</w:t>
      </w:r>
    </w:p>
    <w:p w:rsidR="006B1110" w:rsidRDefault="006B1110" w:rsidP="006B11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индивидуального плана начина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структурирования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оценочная область «Мои таланты»</w:t>
      </w:r>
      <w:r w:rsidRPr="006B11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Педагогу предлагается составить перечень компетенций, которые он оценил бы баллом «3». Далее предлагается выделить те из них, успешный опыт реализации которых педагог может представить коллегам, поставив знак «+» рядом с выделенной компетенцией. Результаты представляются в таблице 1.</w:t>
      </w:r>
    </w:p>
    <w:p w:rsidR="00053DB5" w:rsidRDefault="00053DB5" w:rsidP="00053DB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1 - Мои профессиональные достижения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1110" w:rsidRPr="006B1110" w:rsidTr="006B1110">
        <w:tc>
          <w:tcPr>
            <w:tcW w:w="3115" w:type="dxa"/>
          </w:tcPr>
          <w:p w:rsidR="006B1110" w:rsidRPr="006B1110" w:rsidRDefault="006B1110" w:rsidP="006B1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(трудовые действия)</w:t>
            </w: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предъявления результатов, подтверждающих высокий уровень владения компетенцией</w:t>
            </w: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опыта</w:t>
            </w:r>
          </w:p>
        </w:tc>
      </w:tr>
      <w:tr w:rsidR="006B1110" w:rsidRPr="006B1110" w:rsidTr="008544F8">
        <w:tc>
          <w:tcPr>
            <w:tcW w:w="9345" w:type="dxa"/>
            <w:gridSpan w:val="3"/>
          </w:tcPr>
          <w:p w:rsidR="006B1110" w:rsidRPr="006B1110" w:rsidRDefault="006B1110" w:rsidP="006B1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6B1110" w:rsidRPr="006B1110" w:rsidTr="006B1110"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10" w:rsidRPr="006B1110" w:rsidTr="002139F4">
        <w:tc>
          <w:tcPr>
            <w:tcW w:w="9345" w:type="dxa"/>
            <w:gridSpan w:val="3"/>
          </w:tcPr>
          <w:p w:rsidR="006B1110" w:rsidRPr="006B1110" w:rsidRDefault="006B1110" w:rsidP="006B1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«Воспитательная деятельность»</w:t>
            </w:r>
          </w:p>
        </w:tc>
      </w:tr>
      <w:tr w:rsidR="006B1110" w:rsidRPr="006B1110" w:rsidTr="006B1110"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10" w:rsidRPr="006B1110" w:rsidTr="00296DCD">
        <w:tc>
          <w:tcPr>
            <w:tcW w:w="9345" w:type="dxa"/>
            <w:gridSpan w:val="3"/>
          </w:tcPr>
          <w:p w:rsidR="006B1110" w:rsidRPr="006B1110" w:rsidRDefault="006B1110" w:rsidP="006B1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«Развивающая деятельность»</w:t>
            </w:r>
          </w:p>
        </w:tc>
      </w:tr>
      <w:tr w:rsidR="006B1110" w:rsidRPr="006B1110" w:rsidTr="006B1110"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110" w:rsidRPr="006B1110" w:rsidTr="00C87515">
        <w:tc>
          <w:tcPr>
            <w:tcW w:w="9345" w:type="dxa"/>
            <w:gridSpan w:val="3"/>
          </w:tcPr>
          <w:p w:rsidR="006B1110" w:rsidRPr="006B1110" w:rsidRDefault="006B1110" w:rsidP="006B1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05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деятельность по общеобразовательным программам»</w:t>
            </w:r>
          </w:p>
        </w:tc>
      </w:tr>
      <w:tr w:rsidR="006B1110" w:rsidRPr="006B1110" w:rsidTr="006B1110"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B1110" w:rsidRPr="006B1110" w:rsidRDefault="006B1110" w:rsidP="006B1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110" w:rsidRDefault="006B1110" w:rsidP="0046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DB5" w:rsidRPr="00053DB5" w:rsidRDefault="00053DB5" w:rsidP="00053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работы по заполнению таблицы 1 помогут педагогам увидеть возможности в распространении своих достижений (опыта, практики) среди коллег, а руководителям образовательных организаций - использовать успешный опыт для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системы</w:t>
      </w:r>
      <w:r w:rsidRPr="0005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профессиональной компетентности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</w:t>
      </w:r>
      <w:r w:rsidRPr="00053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B5" w:rsidRPr="00053DB5" w:rsidRDefault="00053DB5" w:rsidP="00053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этапе педагоги приступают к работе с профессиональными дефицитами, выявленными в процессе самоанализа и самооценки своей деятельности. Предлагается вернуться к составленному перечню компетенций (трудовых действий), оцененных баллом «1», чтобы при необходимости скорректировать выбор дефицитов, над устранением которых планируется работать в текущем году и в последующие годы. Можно включить в 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компетенции, оцененные баллом «</w:t>
      </w:r>
      <w:r w:rsidR="001271D5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053DB5">
        <w:rPr>
          <w:rFonts w:ascii="Times New Roman" w:eastAsia="Times New Roman" w:hAnsi="Times New Roman" w:cs="Times New Roman"/>
          <w:sz w:val="28"/>
          <w:szCs w:val="28"/>
          <w:lang w:eastAsia="ru-RU"/>
        </w:rPr>
        <w:t>2», но, требующие развития. Результаты представляются в таблице 2.</w:t>
      </w:r>
    </w:p>
    <w:p w:rsidR="00053DB5" w:rsidRDefault="00053DB5" w:rsidP="00053DB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Мои профессиональные дефициты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759D" w:rsidRPr="00EB2117" w:rsidTr="006C759D">
        <w:tc>
          <w:tcPr>
            <w:tcW w:w="3115" w:type="dxa"/>
          </w:tcPr>
          <w:p w:rsidR="006C759D" w:rsidRPr="00EB2117" w:rsidRDefault="00EB2117" w:rsidP="00EB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(трудовые действия)</w:t>
            </w:r>
          </w:p>
        </w:tc>
        <w:tc>
          <w:tcPr>
            <w:tcW w:w="3115" w:type="dxa"/>
          </w:tcPr>
          <w:p w:rsidR="006C759D" w:rsidRPr="00EB2117" w:rsidRDefault="00EB2117" w:rsidP="00EB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дефицитов по степени актуальности их восполнения</w:t>
            </w:r>
          </w:p>
        </w:tc>
        <w:tc>
          <w:tcPr>
            <w:tcW w:w="3115" w:type="dxa"/>
          </w:tcPr>
          <w:p w:rsidR="006C759D" w:rsidRPr="00EB2117" w:rsidRDefault="00EB2117" w:rsidP="00EB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2117" w:rsidRPr="00EB2117" w:rsidTr="00A32B5D">
        <w:tc>
          <w:tcPr>
            <w:tcW w:w="9345" w:type="dxa"/>
            <w:gridSpan w:val="3"/>
          </w:tcPr>
          <w:p w:rsidR="00EB2117" w:rsidRPr="006B1110" w:rsidRDefault="00EB2117" w:rsidP="00EB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EB2117" w:rsidRPr="00EB2117" w:rsidTr="006C759D"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117" w:rsidRPr="00EB2117" w:rsidTr="00A94F0F">
        <w:trPr>
          <w:trHeight w:val="176"/>
        </w:trPr>
        <w:tc>
          <w:tcPr>
            <w:tcW w:w="9345" w:type="dxa"/>
            <w:gridSpan w:val="3"/>
          </w:tcPr>
          <w:p w:rsidR="00EB2117" w:rsidRPr="006B1110" w:rsidRDefault="00EB2117" w:rsidP="00EB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«Воспитательная деятельность»</w:t>
            </w:r>
          </w:p>
        </w:tc>
      </w:tr>
      <w:tr w:rsidR="00EB2117" w:rsidRPr="00EB2117" w:rsidTr="006C759D"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117" w:rsidRPr="00EB2117" w:rsidTr="00EE14A1">
        <w:tc>
          <w:tcPr>
            <w:tcW w:w="9345" w:type="dxa"/>
            <w:gridSpan w:val="3"/>
          </w:tcPr>
          <w:p w:rsidR="00EB2117" w:rsidRPr="006B1110" w:rsidRDefault="00EB2117" w:rsidP="00EB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«Развивающая деятельность»</w:t>
            </w:r>
          </w:p>
        </w:tc>
      </w:tr>
      <w:tr w:rsidR="00EB2117" w:rsidRPr="00EB2117" w:rsidTr="006C759D"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117" w:rsidRPr="00EB2117" w:rsidTr="00157DF4">
        <w:tc>
          <w:tcPr>
            <w:tcW w:w="9345" w:type="dxa"/>
            <w:gridSpan w:val="3"/>
          </w:tcPr>
          <w:p w:rsidR="00EB2117" w:rsidRPr="006B1110" w:rsidRDefault="00EB2117" w:rsidP="00EB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 «Педагогическая деятельность по общеобразовательным программам»</w:t>
            </w:r>
          </w:p>
        </w:tc>
      </w:tr>
      <w:tr w:rsidR="00EB2117" w:rsidRPr="00EB2117" w:rsidTr="006C759D"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B2117" w:rsidRPr="006B1110" w:rsidRDefault="00EB2117" w:rsidP="00EB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DB5" w:rsidRDefault="00C20708" w:rsidP="00C20708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ИМЦ могут</w:t>
      </w:r>
      <w:r w:rsidR="00D540D3" w:rsidRPr="00D5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автоматизировать процесс сбора информации от каждого педагога и ее обработки с помощью инструмента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r w:rsidR="00D540D3" w:rsidRPr="00D540D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и др. Инструмент позволяет в автоматическом режиме получить сводку ответов в виде диаграмм и гистограмм для формирования отчетов.</w:t>
      </w:r>
    </w:p>
    <w:p w:rsidR="00F67663" w:rsidRPr="00F67663" w:rsidRDefault="00F67663" w:rsidP="00F6766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диагностики профессиональных дефицитов должны стать основой действий по совершенствованию профессиональной деятельности педагогов и оказанию методической и практической помощи педагогическим работникам, тьюторам, методистам по проектированию </w:t>
      </w:r>
      <w:r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персонального пути преодоления профессиональных затруднений с учетом личностных, познавательных, профессиональных интересов, потребностей и дефицитов.</w:t>
      </w:r>
    </w:p>
    <w:p w:rsidR="00F67663" w:rsidRPr="00F67663" w:rsidRDefault="00F67663" w:rsidP="00F6766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(муниципальной) системе наставничества</w:t>
      </w:r>
      <w:r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алгоритм </w:t>
      </w:r>
      <w:r w:rsidR="00536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преодолению выявленных дефицитов и развитию «талантов»</w:t>
      </w:r>
      <w:r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B74" w:rsidRDefault="00536B74" w:rsidP="00F6766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1. Кластеризация по результатам диагностики профессиональных педагогических дефицитов и выявления </w:t>
      </w:r>
      <w:r w:rsidR="0012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«талантов».</w:t>
      </w:r>
    </w:p>
    <w:p w:rsidR="00536B74" w:rsidRDefault="00536B74" w:rsidP="00F6766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2. Разработка «дорожной карта» (плана мероприятий) по преодолению профессиональных дефицитов педагогов и развитию «талантов» в районной системе образования с учётом кластеризации.</w:t>
      </w:r>
    </w:p>
    <w:p w:rsidR="00F67663" w:rsidRPr="00F67663" w:rsidRDefault="00536B74" w:rsidP="00536B7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3.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информационно-методического сопровождения педагогов </w:t>
      </w:r>
      <w:r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психолого-педагогической подготовленности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современными требованиями;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обновление и обеспечение доступности профессионально педагогической информации для учителей;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использованию современных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учебно-воспитательного процесса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и др.</w:t>
      </w:r>
    </w:p>
    <w:p w:rsidR="00F67663" w:rsidRDefault="006A4583" w:rsidP="006A458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4.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тренингов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по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473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проблемных </w:t>
      </w:r>
      <w:r w:rsidR="000473D6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</w:t>
      </w:r>
    </w:p>
    <w:p w:rsidR="000473D6" w:rsidRDefault="000473D6" w:rsidP="006A458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5. Организация и проведение стажировок.</w:t>
      </w:r>
    </w:p>
    <w:p w:rsidR="00F67663" w:rsidRPr="00F67663" w:rsidRDefault="000473D6" w:rsidP="000473D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6.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проблемно-творческих групп. </w:t>
      </w:r>
    </w:p>
    <w:p w:rsidR="00F67663" w:rsidRPr="00F67663" w:rsidRDefault="000473D6" w:rsidP="000473D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7.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ИМЦ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успешных педагогических практик и эффективных управленческих решений,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сценариев занятий с использованием активных методов обучения, разработках собственных средств наглядности.</w:t>
      </w:r>
    </w:p>
    <w:p w:rsidR="00F67663" w:rsidRPr="00F67663" w:rsidRDefault="000473D6" w:rsidP="000473D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Шаг 8.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повторной диагностики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F67663"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затруднений педагогов.</w:t>
      </w:r>
    </w:p>
    <w:p w:rsidR="00F67663" w:rsidRPr="00F67663" w:rsidRDefault="00F67663" w:rsidP="00F67663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0473D6" w:rsidRPr="003C6449" w:rsidRDefault="00F67663" w:rsidP="003C6449">
      <w:pPr>
        <w:pStyle w:val="a5"/>
        <w:numPr>
          <w:ilvl w:val="0"/>
          <w:numId w:val="21"/>
        </w:num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образовательных учреждений;</w:t>
      </w:r>
    </w:p>
    <w:p w:rsidR="00F67663" w:rsidRPr="003C6449" w:rsidRDefault="00F67663" w:rsidP="003C6449">
      <w:pPr>
        <w:pStyle w:val="a5"/>
        <w:numPr>
          <w:ilvl w:val="0"/>
          <w:numId w:val="21"/>
        </w:num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изменение качественных показателей деятельности педагогических работников образовательных учреждений;</w:t>
      </w:r>
    </w:p>
    <w:p w:rsidR="00F67663" w:rsidRPr="003C6449" w:rsidRDefault="00F67663" w:rsidP="003C6449">
      <w:pPr>
        <w:pStyle w:val="a5"/>
        <w:numPr>
          <w:ilvl w:val="0"/>
          <w:numId w:val="21"/>
        </w:num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 обучения: внедрение современных форм, методов обучения и воспитания, инновационных педагогических технологий, способствующих развитию способностей обучающихся;</w:t>
      </w:r>
    </w:p>
    <w:p w:rsidR="00F67663" w:rsidRPr="003C6449" w:rsidRDefault="000473D6" w:rsidP="003C6449">
      <w:pPr>
        <w:pStyle w:val="a5"/>
        <w:numPr>
          <w:ilvl w:val="0"/>
          <w:numId w:val="21"/>
        </w:num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диссеминация успешных педагогических практик и эффективных управленческих решений.</w:t>
      </w:r>
    </w:p>
    <w:p w:rsidR="004606C4" w:rsidRDefault="000473D6" w:rsidP="003C644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воплощения в практику </w:t>
      </w:r>
      <w:r w:rsidR="003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алгоритма деятельности на базе ИМЦ создан Центр наставничества. </w:t>
      </w:r>
      <w:r w:rsidR="006C7D99" w:rsidRPr="006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</w:t>
      </w:r>
      <w:r w:rsidR="003C64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наставничества</w:t>
      </w:r>
      <w:r w:rsidR="006C7D99" w:rsidRPr="006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сервиса «Профиль роста</w:t>
      </w:r>
      <w:r w:rsidR="006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представлена на рисунке </w:t>
      </w:r>
      <w:r w:rsidR="0046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606C4" w:rsidRDefault="000519EE" w:rsidP="004606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  <w:r w:rsidR="00724C7A">
        <w:rPr>
          <w:noProof/>
        </w:rPr>
        <w:drawing>
          <wp:inline distT="0" distB="0" distL="0" distR="0">
            <wp:extent cx="4080510" cy="11576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49" w:rsidRPr="003C6449" w:rsidRDefault="003C6449" w:rsidP="003C64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1 - Организация деятельности творческой группы в рамках сервиса «Профиль роста»</w:t>
      </w:r>
    </w:p>
    <w:p w:rsidR="0094739B" w:rsidRDefault="0094739B" w:rsidP="004606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E0AE8">
        <w:rPr>
          <w:rFonts w:ascii="Times New Roman" w:eastAsia="Calibri" w:hAnsi="Times New Roman" w:cs="Times New Roman"/>
          <w:sz w:val="28"/>
          <w:szCs w:val="28"/>
        </w:rPr>
        <w:t xml:space="preserve">развития районной системы наставничества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повышения качества образования ИМЦ разработан алгоритм сопровождения </w:t>
      </w:r>
      <w:r w:rsidR="007E0AE8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6C4" w:rsidRPr="00AC49D5" w:rsidRDefault="0094739B" w:rsidP="004606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4606C4" w:rsidRPr="00526EF1">
        <w:rPr>
          <w:rFonts w:ascii="Times New Roman" w:eastAsia="Calibri" w:hAnsi="Times New Roman" w:cs="Times New Roman"/>
          <w:sz w:val="28"/>
          <w:szCs w:val="28"/>
        </w:rPr>
        <w:t>3</w:t>
      </w:r>
      <w:r w:rsidR="007E0AE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32130">
        <w:rPr>
          <w:rFonts w:ascii="Times New Roman" w:eastAsia="Calibri" w:hAnsi="Times New Roman" w:cs="Times New Roman"/>
          <w:sz w:val="28"/>
          <w:szCs w:val="28"/>
        </w:rPr>
        <w:t>Алгоритм с</w:t>
      </w:r>
      <w:r>
        <w:rPr>
          <w:rFonts w:ascii="Times New Roman" w:eastAsia="Calibri" w:hAnsi="Times New Roman" w:cs="Times New Roman"/>
          <w:sz w:val="28"/>
          <w:szCs w:val="28"/>
        </w:rPr>
        <w:t>опровождени</w:t>
      </w:r>
      <w:r w:rsidR="00E3213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AE8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</w:p>
    <w:tbl>
      <w:tblPr>
        <w:tblStyle w:val="a7"/>
        <w:tblW w:w="9472" w:type="dxa"/>
        <w:jc w:val="center"/>
        <w:tblLook w:val="04A0" w:firstRow="1" w:lastRow="0" w:firstColumn="1" w:lastColumn="0" w:noHBand="0" w:noVBand="1"/>
      </w:tblPr>
      <w:tblGrid>
        <w:gridCol w:w="2327"/>
        <w:gridCol w:w="2266"/>
        <w:gridCol w:w="2306"/>
        <w:gridCol w:w="2573"/>
      </w:tblGrid>
      <w:tr w:rsidR="00804C5A" w:rsidRPr="00E32130" w:rsidTr="00E32130">
        <w:trPr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ГБУ ИМЦ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804C5A" w:rsidRPr="00E32130" w:rsidTr="00804C5A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</w:t>
            </w:r>
            <w:r w:rsidR="007E0AE8">
              <w:rPr>
                <w:rFonts w:ascii="Times New Roman" w:eastAsia="Calibri" w:hAnsi="Times New Roman" w:cs="Times New Roman"/>
                <w:sz w:val="20"/>
                <w:szCs w:val="20"/>
              </w:rPr>
              <w:t>наставничества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C4" w:rsidRPr="00E32130" w:rsidRDefault="004606C4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13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C4" w:rsidRPr="00E32130" w:rsidRDefault="007E0AE8" w:rsidP="001968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</w:t>
            </w:r>
          </w:p>
        </w:tc>
      </w:tr>
      <w:tr w:rsidR="00804C5A" w:rsidRPr="00E32130" w:rsidTr="00804C5A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4" w:rsidRPr="00E32130" w:rsidRDefault="00924ECF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ОУ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0AE8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схожими профессиональными дефицитами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0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педагогов </w:t>
            </w:r>
            <w:r w:rsidR="0012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наличием педагогических </w:t>
            </w:r>
            <w:r w:rsidR="0012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«талантов»,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соответствующую 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группу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6C4" w:rsidRPr="00E32130" w:rsidRDefault="004606C4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внутри кластера педагогические сообщества.</w:t>
            </w:r>
          </w:p>
          <w:p w:rsidR="004606C4" w:rsidRPr="00E32130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 кластера.</w:t>
            </w:r>
          </w:p>
          <w:p w:rsidR="004606C4" w:rsidRPr="00E32130" w:rsidRDefault="004606C4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роста образовательных организаций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кластера.</w:t>
            </w:r>
          </w:p>
          <w:p w:rsidR="004606C4" w:rsidRPr="00E32130" w:rsidRDefault="004606C4" w:rsidP="00804C5A">
            <w:pPr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C4" w:rsidRPr="00E32130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 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 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выявлению профессиональных дефицитов у педагогов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606C4" w:rsidRPr="00E32130" w:rsidRDefault="004606C4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Совместно с учителями-предметниками 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проблемны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зон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каждого 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кластера в целом.</w:t>
            </w:r>
          </w:p>
          <w:p w:rsidR="00804C5A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траектории развития ОУ.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06C4" w:rsidRPr="00E32130" w:rsidRDefault="002A633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Диссеминация успешного опыта с учётом выявленных «талантов» в районной системе образования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5A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профессиональных </w:t>
            </w:r>
            <w:r w:rsidR="007E0AE8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r w:rsidR="007E0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="007E0AE8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ОУ</w:t>
            </w:r>
            <w:r w:rsidR="0012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 </w:t>
            </w:r>
            <w:r w:rsidR="00127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«талантов»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4C5A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индивидуального маршрута повышения квалификации педагогов ОУ.</w:t>
            </w:r>
          </w:p>
          <w:p w:rsidR="004606C4" w:rsidRPr="00E32130" w:rsidRDefault="004606C4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</w:t>
            </w:r>
            <w:r w:rsidR="002A6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взаимодействия </w:t>
            </w:r>
            <w:r w:rsidR="0080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 кластера.</w:t>
            </w:r>
          </w:p>
          <w:p w:rsidR="004606C4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учителей кластера на базе ОУ</w:t>
            </w:r>
            <w:r w:rsidR="004606C4" w:rsidRPr="00E32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3656" w:rsidRPr="00E32130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наставничества.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5A" w:rsidRDefault="00804C5A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реализации разработанного индивидуального маршрута повышения квалификации.</w:t>
            </w:r>
          </w:p>
          <w:p w:rsidR="006A3656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конкурсах профессионального мастерства.</w:t>
            </w:r>
          </w:p>
          <w:p w:rsidR="006A3656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инновационных образовательных программ.</w:t>
            </w:r>
          </w:p>
          <w:p w:rsidR="006A3656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Диссеминация успешных педагогических практик.</w:t>
            </w:r>
          </w:p>
          <w:p w:rsidR="004606C4" w:rsidRPr="00E32130" w:rsidRDefault="006A3656" w:rsidP="00804C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и реализация программ индивидуального сопровождения обучающихся, требующих повышенного педагогического внимания.</w:t>
            </w:r>
          </w:p>
        </w:tc>
      </w:tr>
    </w:tbl>
    <w:p w:rsidR="004606C4" w:rsidRPr="00B640F3" w:rsidRDefault="004606C4" w:rsidP="004606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основе данных, полученных о педагогических кадрах в ходе проведения </w:t>
      </w:r>
      <w:r w:rsidR="002A6336">
        <w:rPr>
          <w:rFonts w:ascii="Times New Roman" w:eastAsia="Calibri" w:hAnsi="Times New Roman" w:cs="Times New Roman"/>
          <w:sz w:val="28"/>
          <w:szCs w:val="28"/>
        </w:rPr>
        <w:t>диагностических</w:t>
      </w:r>
      <w:r w:rsidRPr="00B640F3">
        <w:rPr>
          <w:rFonts w:ascii="Times New Roman" w:eastAsia="Calibri" w:hAnsi="Times New Roman" w:cs="Times New Roman"/>
          <w:sz w:val="28"/>
          <w:szCs w:val="28"/>
        </w:rPr>
        <w:t xml:space="preserve"> процедур, выявлены проблемные зоны и точки роста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профессиональной компетентности педагогов</w:t>
      </w:r>
      <w:r w:rsidRPr="00B640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6C4" w:rsidRDefault="001271D5" w:rsidP="004606C4">
      <w:pPr>
        <w:spacing w:after="0" w:line="360" w:lineRule="auto"/>
        <w:ind w:left="1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успешного сопровождения создан сервис «Профиль роста». </w:t>
      </w:r>
      <w:r w:rsidR="004606C4" w:rsidRPr="00B640F3">
        <w:rPr>
          <w:rFonts w:ascii="Times New Roman" w:eastAsia="Calibri" w:hAnsi="Times New Roman" w:cs="Times New Roman"/>
          <w:sz w:val="28"/>
          <w:szCs w:val="28"/>
        </w:rPr>
        <w:t>Основной задачей сервиса «Профиль роста» является анализ, обоснование перспектив развития образовательной организации и использования инноваций с учетом оценки качества образования на основе интеграции результатов оценочных процедур. В более широком смысле, под сервисом понимается специализированная экспертная помощь, оказываемая внешними консультантами, в т</w:t>
      </w:r>
      <w:r w:rsidR="004606C4">
        <w:rPr>
          <w:rFonts w:ascii="Times New Roman" w:eastAsia="Calibri" w:hAnsi="Times New Roman" w:cs="Times New Roman"/>
          <w:sz w:val="28"/>
          <w:szCs w:val="28"/>
        </w:rPr>
        <w:t>ом числе</w:t>
      </w:r>
      <w:r w:rsidR="004606C4" w:rsidRPr="00B64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12D">
        <w:rPr>
          <w:rFonts w:ascii="Times New Roman" w:eastAsia="Calibri" w:hAnsi="Times New Roman" w:cs="Times New Roman"/>
          <w:sz w:val="28"/>
          <w:szCs w:val="28"/>
        </w:rPr>
        <w:t xml:space="preserve">районным (муниципальным) методическим активом </w:t>
      </w:r>
      <w:r w:rsidR="004606C4" w:rsidRPr="00B640F3">
        <w:rPr>
          <w:rFonts w:ascii="Times New Roman" w:eastAsia="Calibri" w:hAnsi="Times New Roman" w:cs="Times New Roman"/>
          <w:sz w:val="28"/>
          <w:szCs w:val="28"/>
        </w:rPr>
        <w:t xml:space="preserve">в решении проблем </w:t>
      </w:r>
      <w:r w:rsidR="000C212D">
        <w:rPr>
          <w:rFonts w:ascii="Times New Roman" w:eastAsia="Calibri" w:hAnsi="Times New Roman" w:cs="Times New Roman"/>
          <w:sz w:val="28"/>
          <w:szCs w:val="28"/>
        </w:rPr>
        <w:t>профессионального роста педагогов, организации наставничества</w:t>
      </w:r>
      <w:r w:rsidR="004606C4" w:rsidRPr="00B640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12D" w:rsidRDefault="000C212D" w:rsidP="000C212D">
      <w:pPr>
        <w:autoSpaceDE w:val="0"/>
        <w:autoSpaceDN w:val="0"/>
        <w:adjustRightInd w:val="0"/>
        <w:spacing w:before="120" w:after="0" w:line="360" w:lineRule="auto"/>
        <w:ind w:firstLine="426"/>
        <w:jc w:val="both"/>
        <w:rPr>
          <w:rFonts w:ascii="Calibri" w:eastAsia="Calibri" w:hAnsi="Calibri" w:cs="Times New Roman"/>
          <w:b/>
          <w:noProof/>
          <w:color w:val="000000" w:themeColor="text1"/>
          <w:lang w:eastAsia="ru-RU"/>
        </w:rPr>
      </w:pPr>
      <w:r w:rsidRPr="000B34F6">
        <w:rPr>
          <w:rFonts w:ascii="Times New Roman" w:eastAsia="Calibri" w:hAnsi="Times New Roman" w:cs="Times New Roman"/>
          <w:sz w:val="28"/>
          <w:szCs w:val="28"/>
        </w:rPr>
        <w:t>Алгоритм информационно-методического сопровождения образовательных организаций в рамках сервиса «Профиль роста»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 на </w:t>
      </w:r>
      <w:r w:rsidRPr="00AC4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рисунке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C49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AC49D5">
        <w:rPr>
          <w:rFonts w:ascii="Calibri" w:eastAsia="Calibri" w:hAnsi="Calibri" w:cs="Times New Roman"/>
          <w:b/>
          <w:noProof/>
          <w:color w:val="000000" w:themeColor="text1"/>
          <w:lang w:eastAsia="ru-RU"/>
        </w:rPr>
        <w:t xml:space="preserve"> </w:t>
      </w:r>
    </w:p>
    <w:p w:rsidR="000C212D" w:rsidRDefault="000C212D" w:rsidP="004606C4">
      <w:pPr>
        <w:spacing w:after="0" w:line="360" w:lineRule="auto"/>
        <w:ind w:left="1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C212D" w:rsidRPr="00B640F3" w:rsidRDefault="000C212D" w:rsidP="004606C4">
      <w:pPr>
        <w:spacing w:after="0" w:line="360" w:lineRule="auto"/>
        <w:ind w:left="1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FEE" w:rsidRDefault="004606C4" w:rsidP="004606C4">
      <w:pPr>
        <w:autoSpaceDE w:val="0"/>
        <w:autoSpaceDN w:val="0"/>
        <w:adjustRightInd w:val="0"/>
        <w:spacing w:before="120"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F3">
        <w:rPr>
          <w:rFonts w:ascii="Calibri" w:eastAsia="Calibri" w:hAnsi="Calibri" w:cs="Times New Roman"/>
          <w:b/>
          <w:noProof/>
          <w:color w:val="000000"/>
          <w:lang w:eastAsia="ru-RU"/>
        </w:rPr>
        <w:lastRenderedPageBreak/>
        <mc:AlternateContent>
          <mc:Choice Requires="wpc">
            <w:drawing>
              <wp:inline distT="0" distB="0" distL="0" distR="0" wp14:anchorId="799CDB1F" wp14:editId="118F3F42">
                <wp:extent cx="5607050" cy="3321050"/>
                <wp:effectExtent l="0" t="0" r="88900" b="5080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625" y="19915"/>
                            <a:ext cx="5573395" cy="246481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Определение показателей «профиля роста» образовательной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625" y="447894"/>
                            <a:ext cx="5573396" cy="239921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Определение «пунктов» роста по каждому из показателей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625" y="846229"/>
                            <a:ext cx="5573396" cy="263006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Обсуждение «профиля роста» с командой образовательного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625" y="1267304"/>
                            <a:ext cx="5573395" cy="239495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Реализация «профиля роста» проектным методом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625" y="1663900"/>
                            <a:ext cx="5573395" cy="399491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 xml:space="preserve">Экспертиза и консультирование, информационно-образовательная деятельность специалистов ИМЦ </w:t>
                              </w: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4"/>
                                </w:rPr>
                                <w:t>– консультантов-экспертов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625" y="2220909"/>
                            <a:ext cx="5573396" cy="264031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Мониторинг результативности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625" y="2642457"/>
                            <a:ext cx="5573395" cy="248232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Подготовка аналитического отчёта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625" y="3048207"/>
                            <a:ext cx="5573396" cy="232786"/>
                          </a:xfrm>
                          <a:prstGeom prst="rect">
                            <a:avLst/>
                          </a:prstGeom>
                          <a:solidFill>
                            <a:srgbClr val="E7F9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06C4" w:rsidRPr="00FE49BF" w:rsidRDefault="004606C4" w:rsidP="004606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</w:pPr>
                              <w:r w:rsidRPr="00FE49BF">
                                <w:rPr>
                                  <w:rFonts w:ascii="Times New Roman" w:hAnsi="Times New Roman" w:cs="Times New Roman"/>
                                  <w:b/>
                                  <w:color w:val="000066"/>
                                  <w:sz w:val="20"/>
                                  <w:szCs w:val="28"/>
                                </w:rPr>
                                <w:t>Определение перспектив развития образовательной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8025" y="687826"/>
                            <a:ext cx="228541" cy="15841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8389" y="274338"/>
                            <a:ext cx="227965" cy="1581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8389" y="1109203"/>
                            <a:ext cx="227965" cy="15811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9024" y="1506762"/>
                            <a:ext cx="227330" cy="1574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7813" y="2063410"/>
                            <a:ext cx="227330" cy="1574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7601" y="2484959"/>
                            <a:ext cx="227330" cy="1574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729236" y="2890708"/>
                            <a:ext cx="227330" cy="15748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D5F4FF"/>
                          </a:solidFill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C4" w:rsidRDefault="004606C4" w:rsidP="004606C4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9CDB1F" id="Полотно 22" o:spid="_x0000_s1026" editas="canvas" style="width:441.5pt;height:261.5pt;mso-position-horizontal-relative:char;mso-position-vertical-relative:line" coordsize="56070,3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70;height:33210;visibility:visible;mso-wrap-style:square">
                  <v:fill o:detectmouseclick="t"/>
                  <v:path o:connecttype="none"/>
                </v:shape>
                <v:rect id="Rectangle 5" o:spid="_x0000_s1028" style="position:absolute;left:336;top:199;width:5573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Определение показателей «профиля роста» образовательной организации</w:t>
                        </w:r>
                      </w:p>
                    </w:txbxContent>
                  </v:textbox>
                </v:rect>
                <v:rect id="Rectangle 6" o:spid="_x0000_s1029" style="position:absolute;left:336;top:4478;width:55734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Определение «пунктов» роста по каждому из показателей</w:t>
                        </w:r>
                      </w:p>
                    </w:txbxContent>
                  </v:textbox>
                </v:rect>
                <v:rect id="Rectangle 7" o:spid="_x0000_s1030" style="position:absolute;left:336;top:8462;width:55734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Обсуждение «профиля роста» с командой образовательного учреждения</w:t>
                        </w:r>
                      </w:p>
                    </w:txbxContent>
                  </v:textbox>
                </v:rect>
                <v:rect id="Rectangle 8" o:spid="_x0000_s1031" style="position:absolute;left:336;top:12673;width:55734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Реализация «профиля роста» проектным методом</w:t>
                        </w:r>
                      </w:p>
                    </w:txbxContent>
                  </v:textbox>
                </v:rect>
                <v:rect id="Rectangle 9" o:spid="_x0000_s1032" style="position:absolute;left:336;top:16639;width:55734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 xml:space="preserve">Экспертиза и консультирование, информационно-образовательная деятельность специалистов ИМЦ </w:t>
                        </w: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4"/>
                          </w:rPr>
                          <w:t>– консультантов-экспертов</w:t>
                        </w:r>
                      </w:p>
                    </w:txbxContent>
                  </v:textbox>
                </v:rect>
                <v:rect id="Rectangle 10" o:spid="_x0000_s1033" style="position:absolute;left:336;top:22209;width:55734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Мониторинг результативности</w:t>
                        </w:r>
                      </w:p>
                    </w:txbxContent>
                  </v:textbox>
                </v:rect>
                <v:rect id="Rectangle 11" o:spid="_x0000_s1034" style="position:absolute;left:336;top:26424;width:55734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Подготовка аналитического отчёта</w:t>
                        </w:r>
                      </w:p>
                    </w:txbxContent>
                  </v:textbox>
                </v:rect>
                <v:rect id="Rectangle 12" o:spid="_x0000_s1035" style="position:absolute;left:336;top:30482;width:55734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" fillcolor="#e7f9ff" strokecolor="#002060">
                  <v:shadow on="t" opacity=".5" offset="6pt,6pt"/>
                  <v:textbox>
                    <w:txbxContent>
                      <w:p w:rsidR="004606C4" w:rsidRPr="00FE49BF" w:rsidRDefault="004606C4" w:rsidP="004606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</w:pPr>
                        <w:r w:rsidRPr="00FE49BF">
                          <w:rPr>
                            <w:rFonts w:ascii="Times New Roman" w:hAnsi="Times New Roman" w:cs="Times New Roman"/>
                            <w:b/>
                            <w:color w:val="000066"/>
                            <w:sz w:val="20"/>
                            <w:szCs w:val="28"/>
                          </w:rPr>
                          <w:t>Определение перспектив развития образовательной организации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" o:spid="_x0000_s1036" type="#_x0000_t67" style="position:absolute;left:27280;top:6878;width:2285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" fillcolor="#d5f4ff" strokecolor="#002060">
                  <v:textbox style="layout-flow:vertical-ideographic"/>
                </v:shape>
                <v:shape id="AutoShape 14" o:spid="_x0000_s1037" type="#_x0000_t67" style="position:absolute;left:27283;top:2743;width:228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4" o:spid="_x0000_s1038" type="#_x0000_t67" style="position:absolute;left:27283;top:11092;width:228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4" o:spid="_x0000_s1039" type="#_x0000_t67" style="position:absolute;left:27290;top:15067;width:227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14" o:spid="_x0000_s1040" type="#_x0000_t67" style="position:absolute;left:27278;top:20634;width:2273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14" o:spid="_x0000_s1041" type="#_x0000_t67" style="position:absolute;left:27276;top:24849;width:227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14" o:spid="_x0000_s1042" type="#_x0000_t67" style="position:absolute;left:27292;top:28907;width:2273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" fillcolor="#d5f4ff" strokecolor="#002060">
                  <v:textbox style="layout-flow:vertical-ideographic">
                    <w:txbxContent>
                      <w:p w:rsidR="004606C4" w:rsidRDefault="004606C4" w:rsidP="004606C4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6336" w:rsidRPr="002A6336" w:rsidRDefault="001B4FEE" w:rsidP="002A6336">
      <w:pPr>
        <w:autoSpaceDE w:val="0"/>
        <w:autoSpaceDN w:val="0"/>
        <w:adjustRightInd w:val="0"/>
        <w:spacing w:before="120" w:after="0" w:line="360" w:lineRule="auto"/>
        <w:ind w:firstLine="426"/>
        <w:jc w:val="center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A6336" w:rsidRPr="002A633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Рисунок </w:t>
      </w:r>
      <w:r w:rsidR="002A633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="002A6336" w:rsidRPr="002A633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- </w:t>
      </w:r>
      <w:r w:rsidR="002A6336" w:rsidRPr="002A633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Алгоритм </w:t>
      </w:r>
      <w:r w:rsidR="002A6336" w:rsidRPr="002A63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информационно-методического сопровождения образовательных организаций в рамках сервиса «Профиль роста»</w:t>
      </w:r>
    </w:p>
    <w:p w:rsidR="00835402" w:rsidRDefault="00835402" w:rsidP="001B4FEE">
      <w:pPr>
        <w:autoSpaceDE w:val="0"/>
        <w:autoSpaceDN w:val="0"/>
        <w:adjustRightInd w:val="0"/>
        <w:spacing w:before="120" w:after="0" w:line="360" w:lineRule="auto"/>
        <w:ind w:firstLine="426"/>
        <w:jc w:val="both"/>
        <w:rPr>
          <w:rFonts w:ascii="Calibri" w:eastAsia="Calibri" w:hAnsi="Calibri" w:cs="Times New Roman"/>
          <w:b/>
          <w:noProof/>
          <w:color w:val="000000" w:themeColor="text1"/>
          <w:lang w:eastAsia="ru-RU"/>
        </w:rPr>
      </w:pPr>
    </w:p>
    <w:p w:rsidR="00835402" w:rsidRPr="00835402" w:rsidRDefault="00835402" w:rsidP="00835402">
      <w:pPr>
        <w:pStyle w:val="1"/>
        <w:keepNext w:val="0"/>
        <w:keepLines w:val="0"/>
        <w:widowControl w:val="0"/>
        <w:tabs>
          <w:tab w:val="left" w:pos="4245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35402">
        <w:rPr>
          <w:rFonts w:ascii="Times New Roman" w:hAnsi="Times New Roman" w:cs="Times New Roman"/>
          <w:color w:val="auto"/>
        </w:rPr>
        <w:t>Основные</w:t>
      </w:r>
      <w:r w:rsidRPr="00835402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5402">
        <w:rPr>
          <w:rFonts w:ascii="Times New Roman" w:hAnsi="Times New Roman" w:cs="Times New Roman"/>
          <w:color w:val="auto"/>
        </w:rPr>
        <w:t>понятия</w:t>
      </w:r>
    </w:p>
    <w:p w:rsidR="00835402" w:rsidRDefault="00835402" w:rsidP="00835402">
      <w:pPr>
        <w:tabs>
          <w:tab w:val="left" w:pos="2488"/>
          <w:tab w:val="left" w:pos="7268"/>
          <w:tab w:val="left" w:pos="8505"/>
        </w:tabs>
        <w:spacing w:before="231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402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835402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Pr="00835402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Pr="00835402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–</w:t>
      </w:r>
      <w:r w:rsidRPr="0083540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процедура</w:t>
      </w:r>
      <w:r w:rsidRPr="0083540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выявления</w:t>
      </w:r>
      <w:r w:rsidRPr="0083540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степени развития профессиональных компетенций педагогических работников.</w:t>
      </w:r>
    </w:p>
    <w:p w:rsidR="00835402" w:rsidRDefault="00835402" w:rsidP="00835402">
      <w:pPr>
        <w:tabs>
          <w:tab w:val="left" w:pos="2488"/>
          <w:tab w:val="left" w:pos="7268"/>
          <w:tab w:val="left" w:pos="8505"/>
        </w:tabs>
        <w:spacing w:before="231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5402">
        <w:rPr>
          <w:rFonts w:ascii="Times New Roman" w:hAnsi="Times New Roman" w:cs="Times New Roman"/>
          <w:b/>
          <w:sz w:val="28"/>
          <w:szCs w:val="28"/>
        </w:rPr>
        <w:t xml:space="preserve">Профессиональные дефициты </w:t>
      </w:r>
      <w:r w:rsidRPr="00835402">
        <w:rPr>
          <w:rFonts w:ascii="Times New Roman" w:hAnsi="Times New Roman" w:cs="Times New Roman"/>
          <w:sz w:val="28"/>
          <w:szCs w:val="28"/>
        </w:rPr>
        <w:t>– осознанные или неосознанные недостатки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(ограничения)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354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компетентности,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препятствуют реализации</w:t>
      </w:r>
      <w:r w:rsidRPr="0083540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8354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действий.</w:t>
      </w:r>
    </w:p>
    <w:p w:rsidR="00835402" w:rsidRPr="00835402" w:rsidRDefault="00835402" w:rsidP="00835402">
      <w:pPr>
        <w:tabs>
          <w:tab w:val="left" w:pos="2488"/>
          <w:tab w:val="left" w:pos="7268"/>
          <w:tab w:val="left" w:pos="8505"/>
        </w:tabs>
        <w:spacing w:before="231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5402">
        <w:rPr>
          <w:rFonts w:ascii="Times New Roman" w:hAnsi="Times New Roman" w:cs="Times New Roman"/>
          <w:b/>
          <w:sz w:val="28"/>
          <w:szCs w:val="28"/>
        </w:rPr>
        <w:t xml:space="preserve">Педагогический самоанализ </w:t>
      </w:r>
      <w:r w:rsidRPr="00835402">
        <w:rPr>
          <w:rFonts w:ascii="Times New Roman" w:hAnsi="Times New Roman" w:cs="Times New Roman"/>
          <w:sz w:val="28"/>
          <w:szCs w:val="28"/>
        </w:rPr>
        <w:t>— процесс и результат рефлексии педагогом</w:t>
      </w:r>
      <w:r w:rsidRPr="0083540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собственной</w:t>
      </w:r>
      <w:r w:rsidRPr="008354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деятельности с</w:t>
      </w:r>
      <w:r w:rsidRPr="008354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целью</w:t>
      </w:r>
      <w:r w:rsidRPr="008354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её</w:t>
      </w:r>
      <w:r w:rsidRPr="0083540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улучшения</w:t>
      </w:r>
    </w:p>
    <w:p w:rsidR="00835402" w:rsidRPr="00835402" w:rsidRDefault="00835402" w:rsidP="00835402">
      <w:pPr>
        <w:tabs>
          <w:tab w:val="left" w:pos="2488"/>
          <w:tab w:val="left" w:pos="7268"/>
          <w:tab w:val="left" w:pos="8505"/>
        </w:tabs>
        <w:spacing w:before="231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5402">
        <w:rPr>
          <w:rFonts w:ascii="Times New Roman" w:hAnsi="Times New Roman" w:cs="Times New Roman"/>
          <w:b/>
          <w:sz w:val="28"/>
          <w:szCs w:val="28"/>
        </w:rPr>
        <w:t>Профессиональный</w:t>
      </w:r>
      <w:r w:rsidRPr="0083540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835402">
        <w:rPr>
          <w:rFonts w:ascii="Times New Roman" w:hAnsi="Times New Roman" w:cs="Times New Roman"/>
          <w:b/>
          <w:spacing w:val="70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– нормативный документ, утвержденный</w:t>
      </w:r>
      <w:r w:rsidRPr="0083540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в порядке, определяемом Правительством Российской Федерации, отражающий</w:t>
      </w:r>
      <w:r w:rsidRPr="0083540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требования к работникам по квалификационным уровням с учетом обеспечения</w:t>
      </w:r>
      <w:r w:rsidRPr="0083540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качества,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эффективности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и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безопасности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выполняемых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работ;</w:t>
      </w:r>
      <w:r w:rsidRPr="0083540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квалификации,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необходимой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работнику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для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осуществления</w:t>
      </w:r>
      <w:r w:rsidRPr="0083540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определенного вида</w:t>
      </w:r>
      <w:r w:rsidRPr="008354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3540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540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35402" w:rsidRDefault="00835402" w:rsidP="00835402">
      <w:pPr>
        <w:pStyle w:val="aa"/>
        <w:tabs>
          <w:tab w:val="left" w:pos="8505"/>
        </w:tabs>
        <w:spacing w:line="360" w:lineRule="auto"/>
        <w:ind w:left="0" w:right="-1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rPr>
          <w:b/>
        </w:rPr>
        <w:t>педагога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квалификации, необходимых для</w:t>
      </w:r>
      <w:r>
        <w:rPr>
          <w:spacing w:val="70"/>
        </w:rPr>
        <w:t xml:space="preserve"> </w:t>
      </w:r>
      <w:r>
        <w:t>осуществления педагогической деятельности</w:t>
      </w:r>
      <w:r>
        <w:rPr>
          <w:spacing w:val="1"/>
        </w:rPr>
        <w:t xml:space="preserve"> </w:t>
      </w:r>
      <w:r>
        <w:t>в сфере начального, основного, среднего общего образования и выполнения</w:t>
      </w:r>
      <w:r>
        <w:rPr>
          <w:spacing w:val="1"/>
        </w:rPr>
        <w:t xml:space="preserve"> </w:t>
      </w:r>
      <w:r>
        <w:t>соответствующих трудовых</w:t>
      </w:r>
      <w:r>
        <w:rPr>
          <w:spacing w:val="1"/>
        </w:rPr>
        <w:t xml:space="preserve"> </w:t>
      </w:r>
      <w:r>
        <w:t>функций.</w:t>
      </w:r>
    </w:p>
    <w:p w:rsidR="00835402" w:rsidRDefault="00835402" w:rsidP="00835402">
      <w:pPr>
        <w:pStyle w:val="aa"/>
        <w:tabs>
          <w:tab w:val="left" w:pos="8505"/>
        </w:tabs>
        <w:spacing w:before="86" w:line="357" w:lineRule="auto"/>
        <w:ind w:left="0" w:right="-1"/>
        <w:jc w:val="both"/>
      </w:pPr>
      <w:r>
        <w:rPr>
          <w:b/>
        </w:rPr>
        <w:t xml:space="preserve">Самооценка </w:t>
      </w:r>
      <w:r>
        <w:rPr>
          <w:position w:val="1"/>
        </w:rPr>
        <w:t>– определение уровня своих способностей и возможностей</w:t>
      </w:r>
      <w:r>
        <w:rPr>
          <w:spacing w:val="1"/>
          <w:position w:val="1"/>
        </w:rPr>
        <w:t xml:space="preserve"> </w:t>
      </w:r>
      <w:r>
        <w:t>выполнить определенные действия (работу); оценка степени соответствия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(продукции)</w:t>
      </w:r>
      <w:r>
        <w:rPr>
          <w:spacing w:val="-2"/>
        </w:rPr>
        <w:t xml:space="preserve"> </w:t>
      </w:r>
      <w:r>
        <w:t>стандартизированным</w:t>
      </w:r>
      <w:r>
        <w:rPr>
          <w:spacing w:val="-1"/>
        </w:rPr>
        <w:t xml:space="preserve"> </w:t>
      </w:r>
      <w:r>
        <w:t>требованиям.</w:t>
      </w:r>
    </w:p>
    <w:p w:rsidR="00835402" w:rsidRDefault="00835402" w:rsidP="001B4FEE">
      <w:pPr>
        <w:autoSpaceDE w:val="0"/>
        <w:autoSpaceDN w:val="0"/>
        <w:adjustRightInd w:val="0"/>
        <w:spacing w:before="120" w:after="0" w:line="360" w:lineRule="auto"/>
        <w:ind w:firstLine="426"/>
        <w:jc w:val="both"/>
        <w:rPr>
          <w:rFonts w:ascii="Calibri" w:eastAsia="Calibri" w:hAnsi="Calibri" w:cs="Times New Roman"/>
          <w:b/>
          <w:noProof/>
          <w:color w:val="000000"/>
          <w:lang w:eastAsia="ru-RU"/>
        </w:rPr>
      </w:pPr>
    </w:p>
    <w:sectPr w:rsidR="00835402" w:rsidSect="001B4FE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920"/>
    <w:multiLevelType w:val="hybridMultilevel"/>
    <w:tmpl w:val="BA7EF0E6"/>
    <w:lvl w:ilvl="0" w:tplc="6C962FA6">
      <w:start w:val="1"/>
      <w:numFmt w:val="upperRoman"/>
      <w:lvlText w:val="%1."/>
      <w:lvlJc w:val="left"/>
      <w:pPr>
        <w:ind w:left="4725" w:hanging="10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4A96C4">
      <w:numFmt w:val="bullet"/>
      <w:lvlText w:val="•"/>
      <w:lvlJc w:val="left"/>
      <w:pPr>
        <w:ind w:left="5334" w:hanging="1018"/>
      </w:pPr>
      <w:rPr>
        <w:rFonts w:hint="default"/>
        <w:lang w:val="ru-RU" w:eastAsia="en-US" w:bidi="ar-SA"/>
      </w:rPr>
    </w:lvl>
    <w:lvl w:ilvl="2" w:tplc="65585142">
      <w:numFmt w:val="bullet"/>
      <w:lvlText w:val="•"/>
      <w:lvlJc w:val="left"/>
      <w:pPr>
        <w:ind w:left="5948" w:hanging="1018"/>
      </w:pPr>
      <w:rPr>
        <w:rFonts w:hint="default"/>
        <w:lang w:val="ru-RU" w:eastAsia="en-US" w:bidi="ar-SA"/>
      </w:rPr>
    </w:lvl>
    <w:lvl w:ilvl="3" w:tplc="D3F27AD0">
      <w:numFmt w:val="bullet"/>
      <w:lvlText w:val="•"/>
      <w:lvlJc w:val="left"/>
      <w:pPr>
        <w:ind w:left="6563" w:hanging="1018"/>
      </w:pPr>
      <w:rPr>
        <w:rFonts w:hint="default"/>
        <w:lang w:val="ru-RU" w:eastAsia="en-US" w:bidi="ar-SA"/>
      </w:rPr>
    </w:lvl>
    <w:lvl w:ilvl="4" w:tplc="E584875E">
      <w:numFmt w:val="bullet"/>
      <w:lvlText w:val="•"/>
      <w:lvlJc w:val="left"/>
      <w:pPr>
        <w:ind w:left="7177" w:hanging="1018"/>
      </w:pPr>
      <w:rPr>
        <w:rFonts w:hint="default"/>
        <w:lang w:val="ru-RU" w:eastAsia="en-US" w:bidi="ar-SA"/>
      </w:rPr>
    </w:lvl>
    <w:lvl w:ilvl="5" w:tplc="9E361C7E">
      <w:numFmt w:val="bullet"/>
      <w:lvlText w:val="•"/>
      <w:lvlJc w:val="left"/>
      <w:pPr>
        <w:ind w:left="7792" w:hanging="1018"/>
      </w:pPr>
      <w:rPr>
        <w:rFonts w:hint="default"/>
        <w:lang w:val="ru-RU" w:eastAsia="en-US" w:bidi="ar-SA"/>
      </w:rPr>
    </w:lvl>
    <w:lvl w:ilvl="6" w:tplc="6D56D750">
      <w:numFmt w:val="bullet"/>
      <w:lvlText w:val="•"/>
      <w:lvlJc w:val="left"/>
      <w:pPr>
        <w:ind w:left="8406" w:hanging="1018"/>
      </w:pPr>
      <w:rPr>
        <w:rFonts w:hint="default"/>
        <w:lang w:val="ru-RU" w:eastAsia="en-US" w:bidi="ar-SA"/>
      </w:rPr>
    </w:lvl>
    <w:lvl w:ilvl="7" w:tplc="A83A3FE0">
      <w:numFmt w:val="bullet"/>
      <w:lvlText w:val="•"/>
      <w:lvlJc w:val="left"/>
      <w:pPr>
        <w:ind w:left="9020" w:hanging="1018"/>
      </w:pPr>
      <w:rPr>
        <w:rFonts w:hint="default"/>
        <w:lang w:val="ru-RU" w:eastAsia="en-US" w:bidi="ar-SA"/>
      </w:rPr>
    </w:lvl>
    <w:lvl w:ilvl="8" w:tplc="D2A49460">
      <w:numFmt w:val="bullet"/>
      <w:lvlText w:val="•"/>
      <w:lvlJc w:val="left"/>
      <w:pPr>
        <w:ind w:left="9635" w:hanging="1018"/>
      </w:pPr>
      <w:rPr>
        <w:rFonts w:hint="default"/>
        <w:lang w:val="ru-RU" w:eastAsia="en-US" w:bidi="ar-SA"/>
      </w:rPr>
    </w:lvl>
  </w:abstractNum>
  <w:abstractNum w:abstractNumId="1" w15:restartNumberingAfterBreak="0">
    <w:nsid w:val="12A33DA7"/>
    <w:multiLevelType w:val="multilevel"/>
    <w:tmpl w:val="45683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6776B"/>
    <w:multiLevelType w:val="hybridMultilevel"/>
    <w:tmpl w:val="7B4EE86C"/>
    <w:lvl w:ilvl="0" w:tplc="A16C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B75"/>
    <w:multiLevelType w:val="hybridMultilevel"/>
    <w:tmpl w:val="4A46B9E4"/>
    <w:lvl w:ilvl="0" w:tplc="9F564234">
      <w:start w:val="1"/>
      <w:numFmt w:val="decimal"/>
      <w:lvlText w:val="%1."/>
      <w:lvlJc w:val="left"/>
      <w:pPr>
        <w:ind w:left="720" w:hanging="360"/>
      </w:pPr>
      <w:rPr>
        <w:color w:val="0804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092AA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B66"/>
    <w:multiLevelType w:val="hybridMultilevel"/>
    <w:tmpl w:val="90B63F18"/>
    <w:lvl w:ilvl="0" w:tplc="44446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43B7"/>
    <w:multiLevelType w:val="hybridMultilevel"/>
    <w:tmpl w:val="2654D44C"/>
    <w:lvl w:ilvl="0" w:tplc="44446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50CB3"/>
    <w:multiLevelType w:val="hybridMultilevel"/>
    <w:tmpl w:val="7B4EE86C"/>
    <w:lvl w:ilvl="0" w:tplc="A16C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54F1"/>
    <w:multiLevelType w:val="hybridMultilevel"/>
    <w:tmpl w:val="758CE928"/>
    <w:lvl w:ilvl="0" w:tplc="A16C3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1427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5B19B5"/>
    <w:multiLevelType w:val="hybridMultilevel"/>
    <w:tmpl w:val="D084101C"/>
    <w:lvl w:ilvl="0" w:tplc="4444685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5A39A1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09E3BC1"/>
    <w:multiLevelType w:val="multilevel"/>
    <w:tmpl w:val="4A46B9E4"/>
    <w:lvl w:ilvl="0">
      <w:start w:val="1"/>
      <w:numFmt w:val="decimal"/>
      <w:lvlText w:val="%1."/>
      <w:lvlJc w:val="left"/>
      <w:pPr>
        <w:ind w:left="720" w:hanging="360"/>
      </w:pPr>
      <w:rPr>
        <w:color w:val="0804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46DD"/>
    <w:multiLevelType w:val="hybridMultilevel"/>
    <w:tmpl w:val="B58E846C"/>
    <w:lvl w:ilvl="0" w:tplc="D6E6E3D2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4014B6"/>
    <w:multiLevelType w:val="multilevel"/>
    <w:tmpl w:val="45683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0D7D03"/>
    <w:multiLevelType w:val="hybridMultilevel"/>
    <w:tmpl w:val="777442BA"/>
    <w:lvl w:ilvl="0" w:tplc="D6E6E3D2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5F4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2F09F4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F62AFE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E12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306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C144E2"/>
    <w:multiLevelType w:val="multilevel"/>
    <w:tmpl w:val="BE4E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20"/>
  </w:num>
  <w:num w:numId="10">
    <w:abstractNumId w:val="16"/>
  </w:num>
  <w:num w:numId="11">
    <w:abstractNumId w:val="17"/>
  </w:num>
  <w:num w:numId="12">
    <w:abstractNumId w:val="10"/>
  </w:num>
  <w:num w:numId="13">
    <w:abstractNumId w:val="18"/>
  </w:num>
  <w:num w:numId="14">
    <w:abstractNumId w:val="15"/>
  </w:num>
  <w:num w:numId="15">
    <w:abstractNumId w:val="19"/>
  </w:num>
  <w:num w:numId="16">
    <w:abstractNumId w:val="14"/>
  </w:num>
  <w:num w:numId="17">
    <w:abstractNumId w:val="12"/>
  </w:num>
  <w:num w:numId="18">
    <w:abstractNumId w:val="0"/>
  </w:num>
  <w:num w:numId="19">
    <w:abstractNumId w:val="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C4"/>
    <w:rsid w:val="000256A4"/>
    <w:rsid w:val="000473D6"/>
    <w:rsid w:val="000519EE"/>
    <w:rsid w:val="00053DB5"/>
    <w:rsid w:val="000C212D"/>
    <w:rsid w:val="000D65F4"/>
    <w:rsid w:val="001271D5"/>
    <w:rsid w:val="00151229"/>
    <w:rsid w:val="001B4FEE"/>
    <w:rsid w:val="00243697"/>
    <w:rsid w:val="0024407A"/>
    <w:rsid w:val="00295747"/>
    <w:rsid w:val="00297A42"/>
    <w:rsid w:val="002A6336"/>
    <w:rsid w:val="002A7F89"/>
    <w:rsid w:val="00377E69"/>
    <w:rsid w:val="003C6449"/>
    <w:rsid w:val="004606C4"/>
    <w:rsid w:val="00536B74"/>
    <w:rsid w:val="005B4A64"/>
    <w:rsid w:val="005E53E2"/>
    <w:rsid w:val="006A3656"/>
    <w:rsid w:val="006A4583"/>
    <w:rsid w:val="006B1110"/>
    <w:rsid w:val="006B1912"/>
    <w:rsid w:val="006C759D"/>
    <w:rsid w:val="006C7D99"/>
    <w:rsid w:val="00724C7A"/>
    <w:rsid w:val="00733156"/>
    <w:rsid w:val="00753B46"/>
    <w:rsid w:val="007E0AE8"/>
    <w:rsid w:val="007E5A98"/>
    <w:rsid w:val="00804C5A"/>
    <w:rsid w:val="00835402"/>
    <w:rsid w:val="008E0EB6"/>
    <w:rsid w:val="008E5FF4"/>
    <w:rsid w:val="0090656F"/>
    <w:rsid w:val="00924ECF"/>
    <w:rsid w:val="009407B0"/>
    <w:rsid w:val="0094739B"/>
    <w:rsid w:val="00992C58"/>
    <w:rsid w:val="009947B2"/>
    <w:rsid w:val="00A85D99"/>
    <w:rsid w:val="00AA272E"/>
    <w:rsid w:val="00AA7D5F"/>
    <w:rsid w:val="00B21939"/>
    <w:rsid w:val="00B87B67"/>
    <w:rsid w:val="00BE613D"/>
    <w:rsid w:val="00C20708"/>
    <w:rsid w:val="00C23EFB"/>
    <w:rsid w:val="00C4290D"/>
    <w:rsid w:val="00D540D3"/>
    <w:rsid w:val="00DA4F7A"/>
    <w:rsid w:val="00E03CFF"/>
    <w:rsid w:val="00E32130"/>
    <w:rsid w:val="00E84929"/>
    <w:rsid w:val="00EB2117"/>
    <w:rsid w:val="00EF42EB"/>
    <w:rsid w:val="00F67663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CD1B"/>
  <w15:docId w15:val="{24F28611-94E8-40AE-9022-AAF808C6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6C4"/>
  </w:style>
  <w:style w:type="paragraph" w:styleId="1">
    <w:name w:val="heading 1"/>
    <w:basedOn w:val="a"/>
    <w:next w:val="a"/>
    <w:link w:val="10"/>
    <w:uiPriority w:val="9"/>
    <w:qFormat/>
    <w:rsid w:val="00460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46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06C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4606C4"/>
  </w:style>
  <w:style w:type="table" w:styleId="a7">
    <w:name w:val="Table Grid"/>
    <w:basedOn w:val="a1"/>
    <w:uiPriority w:val="59"/>
    <w:rsid w:val="0046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46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6C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835402"/>
    <w:pPr>
      <w:widowControl w:val="0"/>
      <w:autoSpaceDE w:val="0"/>
      <w:autoSpaceDN w:val="0"/>
      <w:spacing w:after="0" w:line="240" w:lineRule="auto"/>
      <w:ind w:left="53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8354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9609-2D7C-41AB-9A1D-477D2865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2023-04-05T14:31:00Z</dcterms:created>
  <dcterms:modified xsi:type="dcterms:W3CDTF">2023-04-17T12:21:00Z</dcterms:modified>
</cp:coreProperties>
</file>